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6D7" w:rsidRPr="008776D7" w:rsidRDefault="008776D7" w:rsidP="00B25630">
      <w:pPr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Liite 1 § 4</w:t>
      </w:r>
    </w:p>
    <w:p w:rsidR="00836935" w:rsidRPr="00B25630" w:rsidRDefault="003869E3" w:rsidP="00B25630">
      <w:pPr>
        <w:rPr>
          <w:b/>
          <w:sz w:val="32"/>
          <w:szCs w:val="32"/>
        </w:rPr>
      </w:pPr>
      <w:r w:rsidRPr="00B25630">
        <w:rPr>
          <w:b/>
          <w:sz w:val="32"/>
          <w:szCs w:val="32"/>
        </w:rPr>
        <w:t>Talousa</w:t>
      </w:r>
      <w:r w:rsidR="002A7733">
        <w:rPr>
          <w:b/>
          <w:sz w:val="32"/>
          <w:szCs w:val="32"/>
        </w:rPr>
        <w:t>rvion täytäntöönpano-ohjeet 20</w:t>
      </w:r>
      <w:r w:rsidR="003D1E0D">
        <w:rPr>
          <w:b/>
          <w:sz w:val="32"/>
          <w:szCs w:val="32"/>
        </w:rPr>
        <w:t>20</w:t>
      </w:r>
    </w:p>
    <w:p w:rsidR="003869E3" w:rsidRPr="00B25630" w:rsidRDefault="003869E3" w:rsidP="00B25630">
      <w:pPr>
        <w:pStyle w:val="Eivli"/>
        <w:rPr>
          <w:sz w:val="24"/>
          <w:szCs w:val="24"/>
        </w:rPr>
      </w:pPr>
      <w:r w:rsidRPr="00B25630">
        <w:rPr>
          <w:sz w:val="24"/>
          <w:szCs w:val="24"/>
        </w:rPr>
        <w:t>Kunn</w:t>
      </w:r>
      <w:r w:rsidR="002A7733">
        <w:rPr>
          <w:sz w:val="24"/>
          <w:szCs w:val="24"/>
        </w:rPr>
        <w:t>anvaltuusto hyväksyi vuoden 20</w:t>
      </w:r>
      <w:r w:rsidR="003D1E0D">
        <w:rPr>
          <w:sz w:val="24"/>
          <w:szCs w:val="24"/>
        </w:rPr>
        <w:t>20</w:t>
      </w:r>
      <w:r w:rsidR="002A7733">
        <w:rPr>
          <w:sz w:val="24"/>
          <w:szCs w:val="24"/>
        </w:rPr>
        <w:t xml:space="preserve"> talousarvion ja vuosien 20</w:t>
      </w:r>
      <w:r w:rsidR="001B3285">
        <w:rPr>
          <w:sz w:val="24"/>
          <w:szCs w:val="24"/>
        </w:rPr>
        <w:t>20</w:t>
      </w:r>
      <w:r w:rsidR="002A7733">
        <w:rPr>
          <w:sz w:val="24"/>
          <w:szCs w:val="24"/>
        </w:rPr>
        <w:t xml:space="preserve"> - 20</w:t>
      </w:r>
      <w:r w:rsidR="00540DF3">
        <w:rPr>
          <w:sz w:val="24"/>
          <w:szCs w:val="24"/>
        </w:rPr>
        <w:t>2</w:t>
      </w:r>
      <w:r w:rsidR="003D1E0D">
        <w:rPr>
          <w:sz w:val="24"/>
          <w:szCs w:val="24"/>
        </w:rPr>
        <w:t>2</w:t>
      </w:r>
      <w:r w:rsidRPr="00B25630">
        <w:rPr>
          <w:sz w:val="24"/>
          <w:szCs w:val="24"/>
        </w:rPr>
        <w:t xml:space="preserve"> taloussuunnitelman</w:t>
      </w:r>
    </w:p>
    <w:p w:rsidR="00B25630" w:rsidRDefault="003869E3" w:rsidP="00B25630">
      <w:pPr>
        <w:pStyle w:val="Eivli"/>
        <w:rPr>
          <w:sz w:val="24"/>
          <w:szCs w:val="24"/>
        </w:rPr>
      </w:pPr>
      <w:r w:rsidRPr="00B25630">
        <w:rPr>
          <w:sz w:val="24"/>
          <w:szCs w:val="24"/>
        </w:rPr>
        <w:t>kokouksessaan 1</w:t>
      </w:r>
      <w:r w:rsidR="003D1E0D">
        <w:rPr>
          <w:sz w:val="24"/>
          <w:szCs w:val="24"/>
        </w:rPr>
        <w:t>6</w:t>
      </w:r>
      <w:r w:rsidRPr="00B25630">
        <w:rPr>
          <w:sz w:val="24"/>
          <w:szCs w:val="24"/>
        </w:rPr>
        <w:t>.12.201</w:t>
      </w:r>
      <w:r w:rsidR="003D1E0D">
        <w:rPr>
          <w:sz w:val="24"/>
          <w:szCs w:val="24"/>
        </w:rPr>
        <w:t>9</w:t>
      </w:r>
      <w:r w:rsidR="002A7733">
        <w:rPr>
          <w:sz w:val="24"/>
          <w:szCs w:val="24"/>
        </w:rPr>
        <w:t>.</w:t>
      </w:r>
      <w:r w:rsidRPr="00B25630">
        <w:rPr>
          <w:sz w:val="24"/>
          <w:szCs w:val="24"/>
        </w:rPr>
        <w:t xml:space="preserve"> </w:t>
      </w:r>
    </w:p>
    <w:p w:rsidR="002A7733" w:rsidRPr="00B25630" w:rsidRDefault="002A7733" w:rsidP="00B25630">
      <w:pPr>
        <w:pStyle w:val="Eivli"/>
        <w:rPr>
          <w:sz w:val="24"/>
          <w:szCs w:val="24"/>
        </w:rPr>
      </w:pPr>
    </w:p>
    <w:p w:rsidR="003869E3" w:rsidRDefault="003869E3" w:rsidP="00B25630">
      <w:pPr>
        <w:pStyle w:val="Eivli"/>
        <w:rPr>
          <w:sz w:val="24"/>
          <w:szCs w:val="24"/>
        </w:rPr>
      </w:pPr>
      <w:r w:rsidRPr="00B25630">
        <w:rPr>
          <w:sz w:val="24"/>
          <w:szCs w:val="24"/>
        </w:rPr>
        <w:t>Toiminnot tulee mitoittaa talousarvion mukaisesti ja kaikesta muusta tulee pidättäytyä. Pakollisiin lisämäärärahoihin tulee osoittaa kate ensisijaisesti omalta toim</w:t>
      </w:r>
      <w:r w:rsidR="00540DF3">
        <w:rPr>
          <w:sz w:val="24"/>
          <w:szCs w:val="24"/>
        </w:rPr>
        <w:t>ialalta</w:t>
      </w:r>
      <w:r w:rsidRPr="00B25630">
        <w:rPr>
          <w:sz w:val="24"/>
          <w:szCs w:val="24"/>
        </w:rPr>
        <w:t xml:space="preserve">. </w:t>
      </w:r>
    </w:p>
    <w:p w:rsidR="00B25630" w:rsidRPr="00B25630" w:rsidRDefault="00B25630" w:rsidP="00B25630">
      <w:pPr>
        <w:pStyle w:val="Eivli"/>
        <w:rPr>
          <w:sz w:val="24"/>
          <w:szCs w:val="24"/>
        </w:rPr>
      </w:pPr>
    </w:p>
    <w:p w:rsidR="003D1E0D" w:rsidRPr="009A0E13" w:rsidRDefault="002A7733" w:rsidP="009A0E13">
      <w:pPr>
        <w:pStyle w:val="Eivli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Vuoden 20</w:t>
      </w:r>
      <w:r w:rsidR="003D1E0D">
        <w:rPr>
          <w:rFonts w:eastAsia="TimesNewRomanPSMT" w:cstheme="minorHAnsi"/>
          <w:sz w:val="24"/>
          <w:szCs w:val="24"/>
        </w:rPr>
        <w:t>20</w:t>
      </w:r>
      <w:r w:rsidR="003869E3" w:rsidRPr="00B25630">
        <w:rPr>
          <w:rFonts w:eastAsia="TimesNewRomanPSMT" w:cstheme="minorHAnsi"/>
          <w:sz w:val="24"/>
          <w:szCs w:val="24"/>
        </w:rPr>
        <w:t xml:space="preserve"> talousarvio on </w:t>
      </w:r>
      <w:r w:rsidR="00540DF3">
        <w:rPr>
          <w:rFonts w:eastAsia="TimesNewRomanPSMT" w:cstheme="minorHAnsi"/>
          <w:sz w:val="24"/>
          <w:szCs w:val="24"/>
        </w:rPr>
        <w:t>-</w:t>
      </w:r>
      <w:r w:rsidR="003D1E0D">
        <w:rPr>
          <w:rFonts w:eastAsia="TimesNewRomanPSMT" w:cstheme="minorHAnsi"/>
          <w:sz w:val="24"/>
          <w:szCs w:val="24"/>
        </w:rPr>
        <w:t>489</w:t>
      </w:r>
      <w:r>
        <w:rPr>
          <w:rFonts w:eastAsia="TimesNewRomanPSMT" w:cstheme="minorHAnsi"/>
          <w:sz w:val="24"/>
          <w:szCs w:val="24"/>
        </w:rPr>
        <w:t>.</w:t>
      </w:r>
      <w:r w:rsidR="00540DF3">
        <w:rPr>
          <w:rFonts w:eastAsia="TimesNewRomanPSMT" w:cstheme="minorHAnsi"/>
          <w:sz w:val="24"/>
          <w:szCs w:val="24"/>
        </w:rPr>
        <w:t>00</w:t>
      </w:r>
      <w:r>
        <w:rPr>
          <w:rFonts w:eastAsia="TimesNewRomanPSMT" w:cstheme="minorHAnsi"/>
          <w:sz w:val="24"/>
          <w:szCs w:val="24"/>
        </w:rPr>
        <w:t>0</w:t>
      </w:r>
      <w:r w:rsidR="003869E3" w:rsidRPr="00B25630">
        <w:rPr>
          <w:rFonts w:eastAsia="TimesNewRomanPSMT" w:cstheme="minorHAnsi"/>
          <w:sz w:val="24"/>
          <w:szCs w:val="24"/>
        </w:rPr>
        <w:t xml:space="preserve"> euroa alijäämäinen.</w:t>
      </w:r>
      <w:r>
        <w:rPr>
          <w:rFonts w:eastAsia="TimesNewRomanPSMT" w:cstheme="minorHAnsi"/>
          <w:sz w:val="24"/>
          <w:szCs w:val="24"/>
        </w:rPr>
        <w:t xml:space="preserve"> Vuo</w:t>
      </w:r>
      <w:r w:rsidR="00540DF3">
        <w:rPr>
          <w:rFonts w:eastAsia="TimesNewRomanPSMT" w:cstheme="minorHAnsi"/>
          <w:sz w:val="24"/>
          <w:szCs w:val="24"/>
        </w:rPr>
        <w:t>den</w:t>
      </w:r>
      <w:r>
        <w:rPr>
          <w:rFonts w:eastAsia="TimesNewRomanPSMT" w:cstheme="minorHAnsi"/>
          <w:sz w:val="24"/>
          <w:szCs w:val="24"/>
        </w:rPr>
        <w:t xml:space="preserve"> 20</w:t>
      </w:r>
      <w:r w:rsidR="001B3285">
        <w:rPr>
          <w:rFonts w:eastAsia="TimesNewRomanPSMT" w:cstheme="minorHAnsi"/>
          <w:sz w:val="24"/>
          <w:szCs w:val="24"/>
        </w:rPr>
        <w:t>2</w:t>
      </w:r>
      <w:r w:rsidR="003D1E0D">
        <w:rPr>
          <w:rFonts w:eastAsia="TimesNewRomanPSMT" w:cstheme="minorHAnsi"/>
          <w:sz w:val="24"/>
          <w:szCs w:val="24"/>
        </w:rPr>
        <w:t>1</w:t>
      </w:r>
      <w:r w:rsidR="00540DF3">
        <w:rPr>
          <w:rFonts w:eastAsia="TimesNewRomanPSMT" w:cstheme="minorHAnsi"/>
          <w:sz w:val="24"/>
          <w:szCs w:val="24"/>
        </w:rPr>
        <w:t xml:space="preserve"> </w:t>
      </w:r>
      <w:r w:rsidR="00B65D92" w:rsidRPr="00B25630">
        <w:rPr>
          <w:rFonts w:eastAsia="TimesNewRomanPSMT" w:cstheme="minorHAnsi"/>
          <w:sz w:val="24"/>
          <w:szCs w:val="24"/>
        </w:rPr>
        <w:t>taloussuunnitelma</w:t>
      </w:r>
      <w:r w:rsidR="00540DF3">
        <w:rPr>
          <w:rFonts w:eastAsia="TimesNewRomanPSMT" w:cstheme="minorHAnsi"/>
          <w:sz w:val="24"/>
          <w:szCs w:val="24"/>
        </w:rPr>
        <w:t xml:space="preserve"> on -</w:t>
      </w:r>
      <w:r w:rsidR="003D1E0D">
        <w:rPr>
          <w:rFonts w:eastAsia="TimesNewRomanPSMT" w:cstheme="minorHAnsi"/>
          <w:sz w:val="24"/>
          <w:szCs w:val="24"/>
        </w:rPr>
        <w:t>163</w:t>
      </w:r>
      <w:r w:rsidR="00540DF3">
        <w:rPr>
          <w:rFonts w:eastAsia="TimesNewRomanPSMT" w:cstheme="minorHAnsi"/>
          <w:sz w:val="24"/>
          <w:szCs w:val="24"/>
        </w:rPr>
        <w:t>.000 euroa alijäämäinen. Vuoden 202</w:t>
      </w:r>
      <w:r w:rsidR="003D1E0D">
        <w:rPr>
          <w:rFonts w:eastAsia="TimesNewRomanPSMT" w:cstheme="minorHAnsi"/>
          <w:sz w:val="24"/>
          <w:szCs w:val="24"/>
        </w:rPr>
        <w:t>2</w:t>
      </w:r>
      <w:r w:rsidR="00540DF3">
        <w:rPr>
          <w:rFonts w:eastAsia="TimesNewRomanPSMT" w:cstheme="minorHAnsi"/>
          <w:sz w:val="24"/>
          <w:szCs w:val="24"/>
        </w:rPr>
        <w:t xml:space="preserve"> taloussuunnitelma</w:t>
      </w:r>
      <w:r w:rsidR="003D1E0D">
        <w:rPr>
          <w:rFonts w:eastAsia="TimesNewRomanPSMT" w:cstheme="minorHAnsi"/>
          <w:sz w:val="24"/>
          <w:szCs w:val="24"/>
        </w:rPr>
        <w:t xml:space="preserve"> on</w:t>
      </w:r>
      <w:r w:rsidR="00540DF3">
        <w:rPr>
          <w:rFonts w:eastAsia="TimesNewRomanPSMT" w:cstheme="minorHAnsi"/>
          <w:sz w:val="24"/>
          <w:szCs w:val="24"/>
        </w:rPr>
        <w:t xml:space="preserve"> arvioi</w:t>
      </w:r>
      <w:r w:rsidR="003D1E0D">
        <w:rPr>
          <w:rFonts w:eastAsia="TimesNewRomanPSMT" w:cstheme="minorHAnsi"/>
          <w:sz w:val="24"/>
          <w:szCs w:val="24"/>
        </w:rPr>
        <w:t>tu tulokseltaan nollatulokseksi, riippuen talouden tasapainottamissuunnitelman toteutumisesta. Myös vuosien 2020 ja 2021 taloudellisen tulokseen on tasapainottamissuunnitelmalla toteutuessaan positiivisia vaikutuksia.</w:t>
      </w:r>
      <w:r w:rsidR="009A0E13">
        <w:rPr>
          <w:rFonts w:eastAsia="TimesNewRomanPSMT" w:cstheme="minorHAnsi"/>
          <w:sz w:val="24"/>
          <w:szCs w:val="24"/>
        </w:rPr>
        <w:br/>
      </w:r>
    </w:p>
    <w:p w:rsidR="003869E3" w:rsidRPr="00B25630" w:rsidRDefault="003869E3" w:rsidP="00B25630">
      <w:pPr>
        <w:rPr>
          <w:rFonts w:eastAsia="TimesNewRomanPS-BoldMT" w:cstheme="minorHAnsi"/>
          <w:b/>
          <w:bCs/>
          <w:sz w:val="24"/>
          <w:szCs w:val="24"/>
        </w:rPr>
      </w:pPr>
      <w:r w:rsidRPr="00B25630">
        <w:rPr>
          <w:rFonts w:eastAsia="TimesNewRomanPS-BoldMT" w:cstheme="minorHAnsi"/>
          <w:b/>
          <w:bCs/>
          <w:sz w:val="24"/>
          <w:szCs w:val="24"/>
        </w:rPr>
        <w:t>Talousarvion sitovuus ja käyttösuunnitelmat</w:t>
      </w:r>
    </w:p>
    <w:p w:rsidR="003869E3" w:rsidRDefault="003869E3" w:rsidP="00B25630">
      <w:pPr>
        <w:pStyle w:val="Eivli"/>
        <w:rPr>
          <w:sz w:val="24"/>
          <w:szCs w:val="24"/>
        </w:rPr>
      </w:pPr>
      <w:r w:rsidRPr="00B25630">
        <w:rPr>
          <w:sz w:val="24"/>
          <w:szCs w:val="24"/>
        </w:rPr>
        <w:t xml:space="preserve">Talousarviossa esitetyt toimialakohtaiset tavoitteet ovat </w:t>
      </w:r>
      <w:r w:rsidR="000A0DC6" w:rsidRPr="00B25630">
        <w:rPr>
          <w:sz w:val="24"/>
          <w:szCs w:val="24"/>
        </w:rPr>
        <w:t xml:space="preserve">samalla tavalla sitovia kuin määrärahat ja tuloarviotkin. Lautakunnat vahvistavat talousarvion </w:t>
      </w:r>
      <w:r w:rsidRPr="00B25630">
        <w:rPr>
          <w:sz w:val="24"/>
          <w:szCs w:val="24"/>
        </w:rPr>
        <w:t>käyttö</w:t>
      </w:r>
      <w:r w:rsidR="000A0DC6" w:rsidRPr="00B25630">
        <w:rPr>
          <w:sz w:val="24"/>
          <w:szCs w:val="24"/>
        </w:rPr>
        <w:t>suunnitelmansa</w:t>
      </w:r>
      <w:r w:rsidR="00083AEE">
        <w:rPr>
          <w:sz w:val="24"/>
          <w:szCs w:val="24"/>
        </w:rPr>
        <w:t xml:space="preserve"> </w:t>
      </w:r>
      <w:r w:rsidRPr="00B25630">
        <w:rPr>
          <w:sz w:val="24"/>
          <w:szCs w:val="24"/>
        </w:rPr>
        <w:t>helmikuun loppuun mennessä.</w:t>
      </w:r>
    </w:p>
    <w:p w:rsidR="00B25630" w:rsidRPr="00B25630" w:rsidRDefault="00B25630" w:rsidP="00B25630">
      <w:pPr>
        <w:pStyle w:val="Eivli"/>
        <w:rPr>
          <w:sz w:val="24"/>
          <w:szCs w:val="24"/>
        </w:rPr>
      </w:pPr>
    </w:p>
    <w:p w:rsidR="000A0DC6" w:rsidRDefault="000A0DC6" w:rsidP="00B25630">
      <w:pPr>
        <w:pStyle w:val="Eivli"/>
        <w:rPr>
          <w:sz w:val="24"/>
          <w:szCs w:val="24"/>
        </w:rPr>
      </w:pPr>
      <w:r w:rsidRPr="00B25630">
        <w:rPr>
          <w:sz w:val="24"/>
          <w:szCs w:val="24"/>
        </w:rPr>
        <w:t xml:space="preserve">Hyväksyttyjen tavoitteiden saavuttamista tulee seurata vuoden varrella määräraha- ja tuloarvioseurannan lisäksi. </w:t>
      </w:r>
      <w:r w:rsidRPr="00B25630">
        <w:rPr>
          <w:color w:val="1F497D"/>
          <w:sz w:val="24"/>
          <w:szCs w:val="24"/>
        </w:rPr>
        <w:t>L</w:t>
      </w:r>
      <w:r w:rsidRPr="00B25630">
        <w:rPr>
          <w:sz w:val="24"/>
          <w:szCs w:val="24"/>
        </w:rPr>
        <w:t>autakuntakäsittelyyn viedään raportit (omana pykälänä) talousarvion toteutumisesta myös tavoitteiden osalta vähintään kolmen kuukauden välein.</w:t>
      </w:r>
    </w:p>
    <w:p w:rsidR="00B25630" w:rsidRPr="00B25630" w:rsidRDefault="00B25630" w:rsidP="00B25630">
      <w:pPr>
        <w:pStyle w:val="Eivli"/>
        <w:rPr>
          <w:sz w:val="24"/>
          <w:szCs w:val="24"/>
        </w:rPr>
      </w:pPr>
    </w:p>
    <w:p w:rsidR="003869E3" w:rsidRPr="00B25630" w:rsidRDefault="003869E3" w:rsidP="00B25630">
      <w:pPr>
        <w:pStyle w:val="Eivli"/>
        <w:rPr>
          <w:rFonts w:eastAsia="TimesNewRomanPSMT" w:cstheme="minorHAnsi"/>
          <w:sz w:val="24"/>
          <w:szCs w:val="24"/>
        </w:rPr>
      </w:pPr>
      <w:r w:rsidRPr="00B25630">
        <w:rPr>
          <w:rFonts w:eastAsia="TimesNewRomanPSMT" w:cstheme="minorHAnsi"/>
          <w:sz w:val="24"/>
          <w:szCs w:val="24"/>
        </w:rPr>
        <w:t xml:space="preserve">Kate ylitykselle </w:t>
      </w:r>
      <w:r w:rsidR="000A0DC6" w:rsidRPr="00B25630">
        <w:rPr>
          <w:rFonts w:eastAsia="TimesNewRomanPSMT" w:cstheme="minorHAnsi"/>
          <w:sz w:val="24"/>
          <w:szCs w:val="24"/>
        </w:rPr>
        <w:t>tai lisämäärärahalle e</w:t>
      </w:r>
      <w:r w:rsidRPr="00B25630">
        <w:rPr>
          <w:rFonts w:eastAsia="TimesNewRomanPSMT" w:cstheme="minorHAnsi"/>
          <w:sz w:val="24"/>
          <w:szCs w:val="24"/>
        </w:rPr>
        <w:t>tsitään ensisijaisesti sisäisesti</w:t>
      </w:r>
    </w:p>
    <w:p w:rsidR="003869E3" w:rsidRPr="00B25630" w:rsidRDefault="003869E3" w:rsidP="00B25630">
      <w:pPr>
        <w:pStyle w:val="Eivli"/>
        <w:rPr>
          <w:rFonts w:eastAsia="TimesNewRomanPSMT" w:cstheme="minorHAnsi"/>
          <w:sz w:val="24"/>
          <w:szCs w:val="24"/>
        </w:rPr>
      </w:pPr>
      <w:r w:rsidRPr="00B25630">
        <w:rPr>
          <w:rFonts w:eastAsia="TimesNewRomanPSMT" w:cstheme="minorHAnsi"/>
          <w:sz w:val="24"/>
          <w:szCs w:val="24"/>
        </w:rPr>
        <w:t xml:space="preserve">1) </w:t>
      </w:r>
      <w:r w:rsidR="000A0DC6" w:rsidRPr="00B25630">
        <w:rPr>
          <w:rFonts w:eastAsia="TimesNewRomanPSMT" w:cstheme="minorHAnsi"/>
          <w:sz w:val="24"/>
          <w:szCs w:val="24"/>
        </w:rPr>
        <w:t>omalta t</w:t>
      </w:r>
      <w:r w:rsidR="00083AEE">
        <w:rPr>
          <w:rFonts w:eastAsia="TimesNewRomanPSMT" w:cstheme="minorHAnsi"/>
          <w:sz w:val="24"/>
          <w:szCs w:val="24"/>
        </w:rPr>
        <w:t>ulos</w:t>
      </w:r>
      <w:r w:rsidR="000A0DC6" w:rsidRPr="00B25630">
        <w:rPr>
          <w:rFonts w:eastAsia="TimesNewRomanPSMT" w:cstheme="minorHAnsi"/>
          <w:sz w:val="24"/>
          <w:szCs w:val="24"/>
        </w:rPr>
        <w:t>alueelta</w:t>
      </w:r>
      <w:r w:rsidRPr="00B25630">
        <w:rPr>
          <w:rFonts w:eastAsia="TimesNewRomanPSMT" w:cstheme="minorHAnsi"/>
          <w:sz w:val="24"/>
          <w:szCs w:val="24"/>
        </w:rPr>
        <w:t xml:space="preserve">; jos </w:t>
      </w:r>
      <w:r w:rsidR="000A0DC6" w:rsidRPr="00B25630">
        <w:rPr>
          <w:rFonts w:eastAsia="TimesNewRomanPSMT" w:cstheme="minorHAnsi"/>
          <w:sz w:val="24"/>
          <w:szCs w:val="24"/>
        </w:rPr>
        <w:t xml:space="preserve">se </w:t>
      </w:r>
      <w:r w:rsidRPr="00B25630">
        <w:rPr>
          <w:rFonts w:eastAsia="TimesNewRomanPSMT" w:cstheme="minorHAnsi"/>
          <w:sz w:val="24"/>
          <w:szCs w:val="24"/>
        </w:rPr>
        <w:t>ei onnistu</w:t>
      </w:r>
    </w:p>
    <w:p w:rsidR="003869E3" w:rsidRPr="00B25630" w:rsidRDefault="003869E3" w:rsidP="00B25630">
      <w:pPr>
        <w:pStyle w:val="Eivli"/>
        <w:rPr>
          <w:rFonts w:eastAsia="TimesNewRomanPSMT" w:cstheme="minorHAnsi"/>
          <w:sz w:val="24"/>
          <w:szCs w:val="24"/>
        </w:rPr>
      </w:pPr>
      <w:r w:rsidRPr="00B25630">
        <w:rPr>
          <w:rFonts w:eastAsia="TimesNewRomanPSMT" w:cstheme="minorHAnsi"/>
          <w:sz w:val="24"/>
          <w:szCs w:val="24"/>
        </w:rPr>
        <w:t xml:space="preserve">2) lautakunnan päätöksellä </w:t>
      </w:r>
      <w:r w:rsidR="000A0DC6" w:rsidRPr="00B25630">
        <w:rPr>
          <w:rFonts w:eastAsia="TimesNewRomanPSMT" w:cstheme="minorHAnsi"/>
          <w:sz w:val="24"/>
          <w:szCs w:val="24"/>
        </w:rPr>
        <w:t>lautakunnan t</w:t>
      </w:r>
      <w:r w:rsidR="00083AEE">
        <w:rPr>
          <w:rFonts w:eastAsia="TimesNewRomanPSMT" w:cstheme="minorHAnsi"/>
          <w:sz w:val="24"/>
          <w:szCs w:val="24"/>
        </w:rPr>
        <w:t>ulos</w:t>
      </w:r>
      <w:r w:rsidR="000A0DC6" w:rsidRPr="00B25630">
        <w:rPr>
          <w:rFonts w:eastAsia="TimesNewRomanPSMT" w:cstheme="minorHAnsi"/>
          <w:sz w:val="24"/>
          <w:szCs w:val="24"/>
        </w:rPr>
        <w:t>alueiden</w:t>
      </w:r>
      <w:r w:rsidRPr="00B25630">
        <w:rPr>
          <w:rFonts w:eastAsia="TimesNewRomanPSMT" w:cstheme="minorHAnsi"/>
          <w:sz w:val="24"/>
          <w:szCs w:val="24"/>
        </w:rPr>
        <w:t xml:space="preserve"> välillä; jos ei</w:t>
      </w:r>
      <w:r w:rsidR="000A0DC6" w:rsidRPr="00B25630">
        <w:rPr>
          <w:rFonts w:eastAsia="TimesNewRomanPSMT" w:cstheme="minorHAnsi"/>
          <w:sz w:val="24"/>
          <w:szCs w:val="24"/>
        </w:rPr>
        <w:t xml:space="preserve"> se onnistu</w:t>
      </w:r>
    </w:p>
    <w:p w:rsidR="002A7733" w:rsidRPr="00B25630" w:rsidRDefault="003869E3" w:rsidP="009A0E13">
      <w:pPr>
        <w:pStyle w:val="Eivli"/>
        <w:rPr>
          <w:rFonts w:eastAsia="TimesNewRomanPSMT" w:cstheme="minorHAnsi"/>
          <w:sz w:val="24"/>
          <w:szCs w:val="24"/>
        </w:rPr>
      </w:pPr>
      <w:r w:rsidRPr="00B25630">
        <w:rPr>
          <w:rFonts w:eastAsia="TimesNewRomanPSMT" w:cstheme="minorHAnsi"/>
          <w:sz w:val="24"/>
          <w:szCs w:val="24"/>
        </w:rPr>
        <w:t xml:space="preserve">3) </w:t>
      </w:r>
      <w:r w:rsidR="00B25630">
        <w:rPr>
          <w:rFonts w:eastAsia="TimesNewRomanPSMT" w:cstheme="minorHAnsi"/>
          <w:sz w:val="24"/>
          <w:szCs w:val="24"/>
        </w:rPr>
        <w:t xml:space="preserve">lautakunnan esityksenä valtuustolle </w:t>
      </w:r>
      <w:r w:rsidRPr="00B25630">
        <w:rPr>
          <w:rFonts w:eastAsia="TimesNewRomanPSMT" w:cstheme="minorHAnsi"/>
          <w:sz w:val="24"/>
          <w:szCs w:val="24"/>
        </w:rPr>
        <w:t>toimialojen välillä tai valtuuston päätöksellä esitetään rahoitettavaksi</w:t>
      </w:r>
      <w:r w:rsidR="00FE3B52">
        <w:rPr>
          <w:rFonts w:eastAsia="TimesNewRomanPSMT" w:cstheme="minorHAnsi"/>
          <w:sz w:val="24"/>
          <w:szCs w:val="24"/>
        </w:rPr>
        <w:t xml:space="preserve"> </w:t>
      </w:r>
      <w:r w:rsidRPr="00B25630">
        <w:rPr>
          <w:rFonts w:eastAsia="TimesNewRomanPSMT" w:cstheme="minorHAnsi"/>
          <w:sz w:val="24"/>
          <w:szCs w:val="24"/>
        </w:rPr>
        <w:t>muulla keinoin</w:t>
      </w:r>
      <w:r w:rsidR="000A0DC6" w:rsidRPr="00B25630">
        <w:rPr>
          <w:rFonts w:eastAsia="TimesNewRomanPSMT" w:cstheme="minorHAnsi"/>
          <w:sz w:val="24"/>
          <w:szCs w:val="24"/>
        </w:rPr>
        <w:t>.</w:t>
      </w:r>
      <w:r w:rsidR="009A0E13">
        <w:rPr>
          <w:rFonts w:eastAsia="TimesNewRomanPSMT" w:cstheme="minorHAnsi"/>
          <w:sz w:val="24"/>
          <w:szCs w:val="24"/>
        </w:rPr>
        <w:t xml:space="preserve"> </w:t>
      </w:r>
      <w:r w:rsidR="009A0E13">
        <w:rPr>
          <w:rFonts w:eastAsia="TimesNewRomanPSMT" w:cstheme="minorHAnsi"/>
          <w:sz w:val="24"/>
          <w:szCs w:val="24"/>
        </w:rPr>
        <w:br/>
      </w:r>
    </w:p>
    <w:p w:rsidR="003869E3" w:rsidRPr="00FE3B52" w:rsidRDefault="003869E3" w:rsidP="00FE3B52">
      <w:pPr>
        <w:pStyle w:val="Eivli"/>
        <w:rPr>
          <w:sz w:val="24"/>
          <w:szCs w:val="24"/>
        </w:rPr>
      </w:pPr>
      <w:r w:rsidRPr="00FE3B52">
        <w:rPr>
          <w:sz w:val="24"/>
          <w:szCs w:val="24"/>
        </w:rPr>
        <w:t xml:space="preserve">Investointiosassa lautakunnille ja eri hankkeille myönnetyt määrärahat ovat </w:t>
      </w:r>
      <w:r w:rsidR="000A0DC6" w:rsidRPr="00FE3B52">
        <w:rPr>
          <w:sz w:val="24"/>
          <w:szCs w:val="24"/>
        </w:rPr>
        <w:t>kohteittain</w:t>
      </w:r>
      <w:r w:rsidR="00083AEE">
        <w:rPr>
          <w:sz w:val="24"/>
          <w:szCs w:val="24"/>
        </w:rPr>
        <w:t xml:space="preserve"> </w:t>
      </w:r>
      <w:r w:rsidRPr="00FE3B52">
        <w:rPr>
          <w:sz w:val="24"/>
          <w:szCs w:val="24"/>
        </w:rPr>
        <w:t>sitovia.</w:t>
      </w:r>
      <w:r w:rsidR="000A0DC6" w:rsidRPr="00FE3B52">
        <w:rPr>
          <w:sz w:val="24"/>
          <w:szCs w:val="24"/>
        </w:rPr>
        <w:t xml:space="preserve"> </w:t>
      </w:r>
    </w:p>
    <w:p w:rsidR="000A0DC6" w:rsidRPr="00FE3B52" w:rsidRDefault="009A0E13" w:rsidP="00B25630">
      <w:pPr>
        <w:rPr>
          <w:rFonts w:eastAsia="TimesNewRomanPS-BoldMT" w:cstheme="minorHAnsi"/>
          <w:b/>
          <w:bCs/>
          <w:sz w:val="24"/>
          <w:szCs w:val="24"/>
        </w:rPr>
      </w:pPr>
      <w:r>
        <w:rPr>
          <w:rFonts w:eastAsia="TimesNewRomanPS-BoldMT" w:cstheme="minorHAnsi"/>
          <w:b/>
          <w:bCs/>
          <w:sz w:val="24"/>
          <w:szCs w:val="24"/>
        </w:rPr>
        <w:br/>
      </w:r>
      <w:r w:rsidR="000A0DC6" w:rsidRPr="00FE3B52">
        <w:rPr>
          <w:rFonts w:eastAsia="TimesNewRomanPS-BoldMT" w:cstheme="minorHAnsi"/>
          <w:b/>
          <w:bCs/>
          <w:sz w:val="24"/>
          <w:szCs w:val="24"/>
        </w:rPr>
        <w:t>Laskut ja muut kirjanpitotositteet</w:t>
      </w:r>
      <w:r w:rsidR="0022794B" w:rsidRPr="00FE3B52">
        <w:rPr>
          <w:rFonts w:eastAsia="TimesNewRomanPS-BoldMT" w:cstheme="minorHAnsi"/>
          <w:b/>
          <w:bCs/>
          <w:sz w:val="24"/>
          <w:szCs w:val="24"/>
        </w:rPr>
        <w:t xml:space="preserve"> / pöytäkirjojen nähtävillä pito</w:t>
      </w:r>
    </w:p>
    <w:p w:rsidR="0022794B" w:rsidRDefault="0022794B" w:rsidP="00FE3B52">
      <w:pPr>
        <w:pStyle w:val="Eivli"/>
        <w:rPr>
          <w:sz w:val="24"/>
          <w:szCs w:val="24"/>
        </w:rPr>
      </w:pPr>
      <w:r w:rsidRPr="00FE3B52">
        <w:rPr>
          <w:sz w:val="24"/>
          <w:szCs w:val="24"/>
        </w:rPr>
        <w:t xml:space="preserve">Ensimmäisessä toimielimen kokouksessa tulee päättää käyttösuunnitelman hyväksymisen lisäksi ainakin laskujen ja tositteiden hyväksyjät ja lautakunnan kokousajat ja pöytäkirjan nähtävillä pitoaika ja </w:t>
      </w:r>
      <w:proofErr w:type="gramStart"/>
      <w:r w:rsidRPr="00FE3B52">
        <w:rPr>
          <w:sz w:val="24"/>
          <w:szCs w:val="24"/>
        </w:rPr>
        <w:t>–paikka</w:t>
      </w:r>
      <w:proofErr w:type="gramEnd"/>
      <w:r w:rsidRPr="00FE3B52">
        <w:rPr>
          <w:sz w:val="24"/>
          <w:szCs w:val="24"/>
        </w:rPr>
        <w:t>. Lautakunnan kokousajoista ja pöytäkirjojen nähtävillä</w:t>
      </w:r>
      <w:r w:rsidR="002A7733">
        <w:rPr>
          <w:sz w:val="24"/>
          <w:szCs w:val="24"/>
        </w:rPr>
        <w:t xml:space="preserve"> </w:t>
      </w:r>
      <w:r w:rsidRPr="00FE3B52">
        <w:rPr>
          <w:sz w:val="24"/>
          <w:szCs w:val="24"/>
        </w:rPr>
        <w:t xml:space="preserve">pidosta pitää myös ilmoittaa </w:t>
      </w:r>
      <w:r w:rsidR="002A7733">
        <w:rPr>
          <w:sz w:val="24"/>
          <w:szCs w:val="24"/>
        </w:rPr>
        <w:t>ilmoitus</w:t>
      </w:r>
      <w:r w:rsidRPr="00FE3B52">
        <w:rPr>
          <w:sz w:val="24"/>
          <w:szCs w:val="24"/>
        </w:rPr>
        <w:t>taululla, netissä ja Kannonkoskisessa.</w:t>
      </w:r>
    </w:p>
    <w:p w:rsidR="00FE3B52" w:rsidRPr="00FE3B52" w:rsidRDefault="00FE3B52" w:rsidP="00FE3B52">
      <w:pPr>
        <w:pStyle w:val="Eivli"/>
        <w:rPr>
          <w:color w:val="1F497D"/>
          <w:sz w:val="24"/>
          <w:szCs w:val="24"/>
        </w:rPr>
      </w:pPr>
    </w:p>
    <w:p w:rsidR="000A0DC6" w:rsidRPr="00FE3B52" w:rsidRDefault="000A0DC6" w:rsidP="00FE3B52">
      <w:pPr>
        <w:pStyle w:val="Eivli"/>
        <w:rPr>
          <w:rFonts w:eastAsia="TimesNewRomanPSMT" w:cstheme="minorHAnsi"/>
          <w:sz w:val="24"/>
          <w:szCs w:val="24"/>
        </w:rPr>
      </w:pPr>
      <w:r w:rsidRPr="00FE3B52">
        <w:rPr>
          <w:rFonts w:eastAsia="TimesNewRomanPSMT" w:cstheme="minorHAnsi"/>
          <w:sz w:val="24"/>
          <w:szCs w:val="24"/>
        </w:rPr>
        <w:t>Laskujen hyväksyjän on tarkistettava, että ostolasku/muu kirjanpitotosite on muodollisesti</w:t>
      </w:r>
    </w:p>
    <w:p w:rsidR="000A0DC6" w:rsidRPr="00FE3B52" w:rsidRDefault="000A0DC6" w:rsidP="00FE3B52">
      <w:pPr>
        <w:pStyle w:val="Eivli"/>
        <w:rPr>
          <w:rFonts w:eastAsia="TimesNewRomanPSMT" w:cstheme="minorHAnsi"/>
          <w:sz w:val="24"/>
          <w:szCs w:val="24"/>
        </w:rPr>
      </w:pPr>
      <w:r w:rsidRPr="00FE3B52">
        <w:rPr>
          <w:rFonts w:eastAsia="TimesNewRomanPSMT" w:cstheme="minorHAnsi"/>
          <w:sz w:val="24"/>
          <w:szCs w:val="24"/>
        </w:rPr>
        <w:t>ja asiallisesti oikein ja että tavara, työsuoritus tai muu palvelu on merkitty vastaanotetuksi</w:t>
      </w:r>
    </w:p>
    <w:p w:rsidR="0022794B" w:rsidRDefault="000A0DC6" w:rsidP="00FE3B52">
      <w:pPr>
        <w:pStyle w:val="Eivli"/>
        <w:rPr>
          <w:rFonts w:eastAsia="TimesNewRomanPSMT" w:cstheme="minorHAnsi"/>
          <w:sz w:val="24"/>
          <w:szCs w:val="24"/>
        </w:rPr>
      </w:pPr>
      <w:r w:rsidRPr="00FE3B52">
        <w:rPr>
          <w:rFonts w:eastAsia="TimesNewRomanPSMT" w:cstheme="minorHAnsi"/>
          <w:sz w:val="24"/>
          <w:szCs w:val="24"/>
        </w:rPr>
        <w:t>ja toimintakulun suorittamiseen on käytettävissä määrärahaa.</w:t>
      </w:r>
      <w:r w:rsidR="0022794B" w:rsidRPr="00FE3B52">
        <w:rPr>
          <w:rFonts w:eastAsia="TimesNewRomanPSMT" w:cstheme="minorHAnsi"/>
          <w:sz w:val="24"/>
          <w:szCs w:val="24"/>
        </w:rPr>
        <w:t xml:space="preserve"> </w:t>
      </w:r>
    </w:p>
    <w:p w:rsidR="00FE3B52" w:rsidRPr="00FE3B52" w:rsidRDefault="00FE3B52" w:rsidP="00FE3B52">
      <w:pPr>
        <w:pStyle w:val="Eivli"/>
        <w:rPr>
          <w:rFonts w:eastAsia="TimesNewRomanPSMT" w:cstheme="minorHAnsi"/>
          <w:sz w:val="24"/>
          <w:szCs w:val="24"/>
        </w:rPr>
      </w:pPr>
    </w:p>
    <w:p w:rsidR="000A0DC6" w:rsidRDefault="000A0DC6" w:rsidP="00FE3B52">
      <w:pPr>
        <w:pStyle w:val="Eivli"/>
        <w:rPr>
          <w:rFonts w:eastAsia="TimesNewRomanPSMT" w:cstheme="minorHAnsi"/>
          <w:sz w:val="24"/>
          <w:szCs w:val="24"/>
        </w:rPr>
      </w:pPr>
      <w:r w:rsidRPr="00FE3B52">
        <w:rPr>
          <w:rFonts w:eastAsia="TimesNewRomanPSMT" w:cstheme="minorHAnsi"/>
          <w:sz w:val="24"/>
          <w:szCs w:val="24"/>
        </w:rPr>
        <w:t xml:space="preserve">Sisäisen valvonnan </w:t>
      </w:r>
      <w:r w:rsidR="0022794B" w:rsidRPr="00FE3B52">
        <w:rPr>
          <w:rFonts w:eastAsia="TimesNewRomanPSMT" w:cstheme="minorHAnsi"/>
          <w:sz w:val="24"/>
          <w:szCs w:val="24"/>
        </w:rPr>
        <w:t xml:space="preserve">näkökulmasta </w:t>
      </w:r>
      <w:r w:rsidRPr="00FE3B52">
        <w:rPr>
          <w:rFonts w:eastAsia="TimesNewRomanPSMT" w:cstheme="minorHAnsi"/>
          <w:sz w:val="24"/>
          <w:szCs w:val="24"/>
        </w:rPr>
        <w:t xml:space="preserve">vastaanottaja ja hyväksyjä </w:t>
      </w:r>
      <w:r w:rsidR="00F57441" w:rsidRPr="00FE3B52">
        <w:rPr>
          <w:rFonts w:eastAsia="TimesNewRomanPSMT" w:cstheme="minorHAnsi"/>
          <w:sz w:val="24"/>
          <w:szCs w:val="24"/>
        </w:rPr>
        <w:t>eivät</w:t>
      </w:r>
      <w:r w:rsidRPr="00FE3B52">
        <w:rPr>
          <w:rFonts w:eastAsia="TimesNewRomanPSMT" w:cstheme="minorHAnsi"/>
          <w:sz w:val="24"/>
          <w:szCs w:val="24"/>
        </w:rPr>
        <w:t xml:space="preserve"> saa olla sama henkilö.</w:t>
      </w:r>
    </w:p>
    <w:p w:rsidR="002A7733" w:rsidRDefault="002A7733" w:rsidP="00FE3B52">
      <w:pPr>
        <w:pStyle w:val="Eivli"/>
        <w:rPr>
          <w:rFonts w:eastAsia="TimesNewRomanPSMT" w:cstheme="minorHAnsi"/>
          <w:sz w:val="24"/>
          <w:szCs w:val="24"/>
        </w:rPr>
      </w:pPr>
    </w:p>
    <w:p w:rsidR="00FE3B52" w:rsidRPr="00FE3B52" w:rsidRDefault="002A7733" w:rsidP="00FE3B52">
      <w:pPr>
        <w:pStyle w:val="Eivli"/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Hankintaohjeen (pienhankinnat) ja hankintalain säännöksiä tulee noudattaa sekä tavara- että palveluhankinnoissa.</w:t>
      </w:r>
    </w:p>
    <w:p w:rsidR="00BF7836" w:rsidRDefault="00BF7836" w:rsidP="00FE3B52">
      <w:pPr>
        <w:pStyle w:val="Eivli"/>
        <w:rPr>
          <w:sz w:val="24"/>
          <w:szCs w:val="24"/>
        </w:rPr>
      </w:pPr>
      <w:r w:rsidRPr="00FE3B52">
        <w:rPr>
          <w:sz w:val="24"/>
          <w:szCs w:val="24"/>
        </w:rPr>
        <w:lastRenderedPageBreak/>
        <w:t>Huom! Jos laskut perusteettomasti toimitetaan maksatukseen eräpäivän jälkeen, kirjataan myöhästymisestä aiheutuvat viivästyskorot ao. tulosyksikön määrärahoista.</w:t>
      </w:r>
    </w:p>
    <w:p w:rsidR="00FE3B52" w:rsidRPr="00FE3B52" w:rsidRDefault="00FE3B52" w:rsidP="00FE3B52">
      <w:pPr>
        <w:pStyle w:val="Eivli"/>
        <w:rPr>
          <w:sz w:val="24"/>
          <w:szCs w:val="24"/>
        </w:rPr>
      </w:pPr>
    </w:p>
    <w:p w:rsidR="00BF7836" w:rsidRPr="00FE3B52" w:rsidRDefault="00BF7836" w:rsidP="00FE3B52">
      <w:pPr>
        <w:pStyle w:val="Eivli"/>
        <w:rPr>
          <w:sz w:val="24"/>
          <w:szCs w:val="24"/>
        </w:rPr>
      </w:pPr>
      <w:r w:rsidRPr="00FE3B52">
        <w:rPr>
          <w:sz w:val="24"/>
          <w:szCs w:val="24"/>
        </w:rPr>
        <w:t>Hallintokuntia sitoo myös vastuu tulojen kertymisestä. Tulosyksiköiden on huolehdittava</w:t>
      </w:r>
    </w:p>
    <w:p w:rsidR="00BF7836" w:rsidRDefault="00BF7836" w:rsidP="00FE3B52">
      <w:pPr>
        <w:pStyle w:val="Eivli"/>
        <w:rPr>
          <w:sz w:val="24"/>
          <w:szCs w:val="24"/>
        </w:rPr>
      </w:pPr>
      <w:r w:rsidRPr="00FE3B52">
        <w:rPr>
          <w:sz w:val="24"/>
          <w:szCs w:val="24"/>
        </w:rPr>
        <w:t xml:space="preserve">toimialallaan syntyvien saatavien laskutuksesta. </w:t>
      </w:r>
    </w:p>
    <w:p w:rsidR="00FE3B52" w:rsidRPr="00FE3B52" w:rsidRDefault="00FE3B52" w:rsidP="00FE3B52">
      <w:pPr>
        <w:pStyle w:val="Eivli"/>
        <w:rPr>
          <w:sz w:val="24"/>
          <w:szCs w:val="24"/>
        </w:rPr>
      </w:pPr>
    </w:p>
    <w:p w:rsidR="0022794B" w:rsidRDefault="00F57441" w:rsidP="00FE3B52">
      <w:pPr>
        <w:pStyle w:val="Eivli"/>
        <w:rPr>
          <w:sz w:val="24"/>
          <w:szCs w:val="24"/>
        </w:rPr>
      </w:pPr>
      <w:r>
        <w:rPr>
          <w:sz w:val="24"/>
          <w:szCs w:val="24"/>
        </w:rPr>
        <w:t>Kunnan h</w:t>
      </w:r>
      <w:r w:rsidR="0022794B" w:rsidRPr="00FE3B52">
        <w:rPr>
          <w:sz w:val="24"/>
          <w:szCs w:val="24"/>
        </w:rPr>
        <w:t xml:space="preserve">allintosääntö ja kaikki </w:t>
      </w:r>
      <w:r>
        <w:rPr>
          <w:sz w:val="24"/>
          <w:szCs w:val="24"/>
        </w:rPr>
        <w:t xml:space="preserve">muu </w:t>
      </w:r>
      <w:r w:rsidR="0022794B" w:rsidRPr="00FE3B52">
        <w:rPr>
          <w:sz w:val="24"/>
          <w:szCs w:val="24"/>
        </w:rPr>
        <w:t>voimassaoleva</w:t>
      </w:r>
      <w:r w:rsidR="00D10FBD">
        <w:rPr>
          <w:sz w:val="24"/>
          <w:szCs w:val="24"/>
        </w:rPr>
        <w:t xml:space="preserve"> ohjeistus</w:t>
      </w:r>
      <w:r w:rsidR="0022794B" w:rsidRPr="00FE3B52">
        <w:rPr>
          <w:sz w:val="24"/>
          <w:szCs w:val="24"/>
        </w:rPr>
        <w:t xml:space="preserve"> löyty</w:t>
      </w:r>
      <w:r w:rsidR="00D10FBD">
        <w:rPr>
          <w:sz w:val="24"/>
          <w:szCs w:val="24"/>
        </w:rPr>
        <w:t>y</w:t>
      </w:r>
      <w:r w:rsidR="0022794B" w:rsidRPr="00FE3B52">
        <w:rPr>
          <w:sz w:val="24"/>
          <w:szCs w:val="24"/>
        </w:rPr>
        <w:t xml:space="preserve"> Y-asemalta säännöt ja ohjelmat </w:t>
      </w:r>
      <w:proofErr w:type="gramStart"/>
      <w:r w:rsidR="0022794B" w:rsidRPr="00FE3B52">
        <w:rPr>
          <w:sz w:val="24"/>
          <w:szCs w:val="24"/>
        </w:rPr>
        <w:t>–kansiosta</w:t>
      </w:r>
      <w:proofErr w:type="gramEnd"/>
      <w:r w:rsidR="0022794B" w:rsidRPr="00FE3B52">
        <w:rPr>
          <w:sz w:val="24"/>
          <w:szCs w:val="24"/>
        </w:rPr>
        <w:t xml:space="preserve">. </w:t>
      </w:r>
    </w:p>
    <w:p w:rsidR="00FE3B52" w:rsidRPr="00FE3B52" w:rsidRDefault="00FE3B52" w:rsidP="00FE3B52">
      <w:pPr>
        <w:pStyle w:val="Eivli"/>
        <w:rPr>
          <w:sz w:val="24"/>
          <w:szCs w:val="24"/>
        </w:rPr>
      </w:pPr>
    </w:p>
    <w:p w:rsidR="00BF7836" w:rsidRPr="00FE3B52" w:rsidRDefault="00BF7836" w:rsidP="00B25630">
      <w:pPr>
        <w:rPr>
          <w:rFonts w:cstheme="minorHAnsi"/>
          <w:b/>
          <w:bCs/>
          <w:sz w:val="24"/>
          <w:szCs w:val="24"/>
        </w:rPr>
      </w:pPr>
      <w:r w:rsidRPr="00FE3B52">
        <w:rPr>
          <w:rFonts w:cstheme="minorHAnsi"/>
          <w:b/>
          <w:bCs/>
          <w:sz w:val="24"/>
          <w:szCs w:val="24"/>
        </w:rPr>
        <w:t>T</w:t>
      </w:r>
      <w:r w:rsidR="002A7733">
        <w:rPr>
          <w:rFonts w:cstheme="minorHAnsi"/>
          <w:b/>
          <w:bCs/>
          <w:sz w:val="24"/>
          <w:szCs w:val="24"/>
        </w:rPr>
        <w:t>oimintakertomukset vuodelta 201</w:t>
      </w:r>
      <w:r w:rsidR="00CD3059">
        <w:rPr>
          <w:rFonts w:cstheme="minorHAnsi"/>
          <w:b/>
          <w:bCs/>
          <w:sz w:val="24"/>
          <w:szCs w:val="24"/>
        </w:rPr>
        <w:t>9</w:t>
      </w:r>
    </w:p>
    <w:p w:rsidR="00E668EA" w:rsidRDefault="00BF7836" w:rsidP="00FE3B52">
      <w:pPr>
        <w:pStyle w:val="Eivli"/>
        <w:rPr>
          <w:bCs/>
          <w:sz w:val="24"/>
          <w:szCs w:val="24"/>
        </w:rPr>
      </w:pPr>
      <w:r w:rsidRPr="00FE3B52">
        <w:rPr>
          <w:sz w:val="24"/>
          <w:szCs w:val="24"/>
        </w:rPr>
        <w:t>Toimintakertomukset tulee toimittaa kunnanhallitukselle viimeistään helmikuun loppuun mennessä</w:t>
      </w:r>
      <w:r w:rsidRPr="00FE3B52">
        <w:rPr>
          <w:color w:val="1F497D"/>
          <w:sz w:val="24"/>
          <w:szCs w:val="24"/>
        </w:rPr>
        <w:t xml:space="preserve">, </w:t>
      </w:r>
      <w:r w:rsidRPr="00FE3B52">
        <w:rPr>
          <w:sz w:val="24"/>
          <w:szCs w:val="24"/>
        </w:rPr>
        <w:t>mielellään jo aikaisemminkin, mikäli mahdollista. Toimintakertomuksessa on oleellista selvittää vuoden 201</w:t>
      </w:r>
      <w:r w:rsidR="00CD3059">
        <w:rPr>
          <w:sz w:val="24"/>
          <w:szCs w:val="24"/>
        </w:rPr>
        <w:t>9</w:t>
      </w:r>
      <w:r w:rsidRPr="00FE3B52">
        <w:rPr>
          <w:sz w:val="24"/>
          <w:szCs w:val="24"/>
        </w:rPr>
        <w:t xml:space="preserve"> talousarviossa </w:t>
      </w:r>
      <w:r w:rsidRPr="00FE3B52">
        <w:rPr>
          <w:bCs/>
          <w:sz w:val="24"/>
          <w:szCs w:val="24"/>
        </w:rPr>
        <w:t>hyväksyttyjen tavoitteiden toteutuminen</w:t>
      </w:r>
      <w:r w:rsidRPr="00FE3B52">
        <w:rPr>
          <w:sz w:val="24"/>
          <w:szCs w:val="24"/>
        </w:rPr>
        <w:t xml:space="preserve"> sekä oleelliset muutokset toiminnoissa tai määrärahoissa. Toimintakertomuksista koostetaan kunnan tilinpäätöksen tekstiosaa. Yhtenäinen, tiivis esitystapa ja sama fontti (</w:t>
      </w:r>
      <w:proofErr w:type="spellStart"/>
      <w:r w:rsidRPr="00FE3B52">
        <w:rPr>
          <w:sz w:val="24"/>
          <w:szCs w:val="24"/>
        </w:rPr>
        <w:t>Calibri</w:t>
      </w:r>
      <w:proofErr w:type="spellEnd"/>
      <w:r w:rsidRPr="00FE3B52">
        <w:rPr>
          <w:sz w:val="24"/>
          <w:szCs w:val="24"/>
        </w:rPr>
        <w:t xml:space="preserve">) edesauttavat koostamista. </w:t>
      </w:r>
      <w:r w:rsidR="00E668EA" w:rsidRPr="00FE3B52">
        <w:rPr>
          <w:sz w:val="24"/>
          <w:szCs w:val="24"/>
        </w:rPr>
        <w:t>T</w:t>
      </w:r>
      <w:r w:rsidRPr="00FE3B52">
        <w:rPr>
          <w:bCs/>
          <w:sz w:val="24"/>
          <w:szCs w:val="24"/>
        </w:rPr>
        <w:t xml:space="preserve">oimintakertomuksissa </w:t>
      </w:r>
      <w:r w:rsidR="00E668EA" w:rsidRPr="00FE3B52">
        <w:rPr>
          <w:bCs/>
          <w:sz w:val="24"/>
          <w:szCs w:val="24"/>
        </w:rPr>
        <w:t xml:space="preserve">käytetään </w:t>
      </w:r>
      <w:r w:rsidRPr="00FE3B52">
        <w:rPr>
          <w:bCs/>
          <w:sz w:val="24"/>
          <w:szCs w:val="24"/>
        </w:rPr>
        <w:t xml:space="preserve">seuraavia fonttikokoja (ei mitään taustavärejä </w:t>
      </w:r>
      <w:proofErr w:type="spellStart"/>
      <w:r w:rsidRPr="00FE3B52">
        <w:rPr>
          <w:bCs/>
          <w:sz w:val="24"/>
          <w:szCs w:val="24"/>
        </w:rPr>
        <w:t>tms</w:t>
      </w:r>
      <w:proofErr w:type="spellEnd"/>
      <w:r w:rsidRPr="00FE3B52">
        <w:rPr>
          <w:bCs/>
          <w:sz w:val="24"/>
          <w:szCs w:val="24"/>
        </w:rPr>
        <w:t xml:space="preserve"> korostuksia):</w:t>
      </w:r>
    </w:p>
    <w:p w:rsidR="00FE3B52" w:rsidRPr="00FE3B52" w:rsidRDefault="00FE3B52" w:rsidP="00FE3B52">
      <w:pPr>
        <w:pStyle w:val="Eivli"/>
        <w:rPr>
          <w:bCs/>
          <w:sz w:val="24"/>
          <w:szCs w:val="24"/>
        </w:rPr>
      </w:pPr>
    </w:p>
    <w:p w:rsidR="00BF7836" w:rsidRPr="00FE3B52" w:rsidRDefault="00BF7836" w:rsidP="00FE3B52">
      <w:pPr>
        <w:pStyle w:val="Eivli"/>
        <w:rPr>
          <w:sz w:val="24"/>
          <w:szCs w:val="24"/>
        </w:rPr>
      </w:pPr>
      <w:proofErr w:type="gramStart"/>
      <w:r w:rsidRPr="00FE3B52">
        <w:rPr>
          <w:sz w:val="24"/>
          <w:szCs w:val="24"/>
        </w:rPr>
        <w:t>-</w:t>
      </w:r>
      <w:proofErr w:type="gramEnd"/>
      <w:r w:rsidRPr="00FE3B52">
        <w:rPr>
          <w:sz w:val="24"/>
          <w:szCs w:val="24"/>
        </w:rPr>
        <w:t xml:space="preserve"> pääotsikko (isot kirjaimet, lihavoitu </w:t>
      </w:r>
      <w:proofErr w:type="spellStart"/>
      <w:r w:rsidRPr="00FE3B52">
        <w:rPr>
          <w:sz w:val="24"/>
          <w:szCs w:val="24"/>
        </w:rPr>
        <w:t>Calibri</w:t>
      </w:r>
      <w:proofErr w:type="spellEnd"/>
      <w:r w:rsidRPr="00FE3B52">
        <w:rPr>
          <w:sz w:val="24"/>
          <w:szCs w:val="24"/>
        </w:rPr>
        <w:t xml:space="preserve"> 14)</w:t>
      </w:r>
    </w:p>
    <w:p w:rsidR="00BF7836" w:rsidRPr="00FE3B52" w:rsidRDefault="00BF7836" w:rsidP="00FE3B52">
      <w:pPr>
        <w:pStyle w:val="Eivli"/>
        <w:rPr>
          <w:sz w:val="24"/>
          <w:szCs w:val="24"/>
        </w:rPr>
      </w:pPr>
      <w:proofErr w:type="gramStart"/>
      <w:r w:rsidRPr="00FE3B52">
        <w:rPr>
          <w:sz w:val="24"/>
          <w:szCs w:val="24"/>
        </w:rPr>
        <w:t>-</w:t>
      </w:r>
      <w:proofErr w:type="gramEnd"/>
      <w:r w:rsidRPr="00FE3B52">
        <w:rPr>
          <w:sz w:val="24"/>
          <w:szCs w:val="24"/>
        </w:rPr>
        <w:t xml:space="preserve"> väliotsikko (pienet kirjaimet, lihavoitu </w:t>
      </w:r>
      <w:proofErr w:type="spellStart"/>
      <w:r w:rsidRPr="00FE3B52">
        <w:rPr>
          <w:sz w:val="24"/>
          <w:szCs w:val="24"/>
        </w:rPr>
        <w:t>Calibri</w:t>
      </w:r>
      <w:proofErr w:type="spellEnd"/>
      <w:r w:rsidRPr="00FE3B52">
        <w:rPr>
          <w:sz w:val="24"/>
          <w:szCs w:val="24"/>
        </w:rPr>
        <w:t xml:space="preserve"> 12)</w:t>
      </w:r>
    </w:p>
    <w:p w:rsidR="00BF7836" w:rsidRPr="00FE3B52" w:rsidRDefault="00BF7836" w:rsidP="00FE3B52">
      <w:pPr>
        <w:pStyle w:val="Eivli"/>
        <w:rPr>
          <w:sz w:val="24"/>
          <w:szCs w:val="24"/>
        </w:rPr>
      </w:pPr>
      <w:proofErr w:type="gramStart"/>
      <w:r w:rsidRPr="00FE3B52">
        <w:rPr>
          <w:sz w:val="24"/>
          <w:szCs w:val="24"/>
        </w:rPr>
        <w:t>-</w:t>
      </w:r>
      <w:proofErr w:type="gramEnd"/>
      <w:r w:rsidRPr="00FE3B52">
        <w:rPr>
          <w:sz w:val="24"/>
          <w:szCs w:val="24"/>
        </w:rPr>
        <w:t xml:space="preserve"> teksti (</w:t>
      </w:r>
      <w:proofErr w:type="spellStart"/>
      <w:r w:rsidRPr="00FE3B52">
        <w:rPr>
          <w:sz w:val="24"/>
          <w:szCs w:val="24"/>
        </w:rPr>
        <w:t>Calibri</w:t>
      </w:r>
      <w:proofErr w:type="spellEnd"/>
      <w:r w:rsidRPr="00FE3B52">
        <w:rPr>
          <w:sz w:val="24"/>
          <w:szCs w:val="24"/>
        </w:rPr>
        <w:t xml:space="preserve"> 12).</w:t>
      </w:r>
    </w:p>
    <w:p w:rsidR="00BF7836" w:rsidRPr="00BF7836" w:rsidRDefault="00BF7836" w:rsidP="00B25630">
      <w:pPr>
        <w:rPr>
          <w:rFonts w:cstheme="minorHAnsi"/>
          <w:sz w:val="24"/>
          <w:szCs w:val="24"/>
        </w:rPr>
      </w:pPr>
    </w:p>
    <w:p w:rsidR="00BF7836" w:rsidRDefault="00BF7836" w:rsidP="00FE3B52">
      <w:pPr>
        <w:pStyle w:val="Eivli"/>
        <w:rPr>
          <w:sz w:val="24"/>
          <w:szCs w:val="24"/>
        </w:rPr>
      </w:pPr>
      <w:r w:rsidRPr="00FE3B52">
        <w:rPr>
          <w:sz w:val="24"/>
          <w:szCs w:val="24"/>
        </w:rPr>
        <w:t xml:space="preserve">Toimintakertomuksen oleellinen osa on myös sisäisen </w:t>
      </w:r>
      <w:r w:rsidR="00052504">
        <w:rPr>
          <w:sz w:val="24"/>
          <w:szCs w:val="24"/>
        </w:rPr>
        <w:t xml:space="preserve">valvonnan selonteko vuodelta </w:t>
      </w:r>
      <w:r w:rsidR="00D10FBD">
        <w:rPr>
          <w:sz w:val="24"/>
          <w:szCs w:val="24"/>
        </w:rPr>
        <w:t>201</w:t>
      </w:r>
      <w:r w:rsidR="00CD3059">
        <w:rPr>
          <w:sz w:val="24"/>
          <w:szCs w:val="24"/>
        </w:rPr>
        <w:t>9</w:t>
      </w:r>
      <w:r w:rsidR="00D10FBD">
        <w:rPr>
          <w:sz w:val="24"/>
          <w:szCs w:val="24"/>
        </w:rPr>
        <w:t xml:space="preserve"> </w:t>
      </w:r>
      <w:r w:rsidR="00D10FBD" w:rsidRPr="00FE3B52">
        <w:rPr>
          <w:sz w:val="24"/>
          <w:szCs w:val="24"/>
        </w:rPr>
        <w:t>(tavoitepituus</w:t>
      </w:r>
      <w:r w:rsidRPr="00FE3B52">
        <w:rPr>
          <w:sz w:val="24"/>
          <w:szCs w:val="24"/>
        </w:rPr>
        <w:t xml:space="preserve"> </w:t>
      </w:r>
      <w:proofErr w:type="spellStart"/>
      <w:r w:rsidRPr="00FE3B52">
        <w:rPr>
          <w:sz w:val="24"/>
          <w:szCs w:val="24"/>
        </w:rPr>
        <w:t>max</w:t>
      </w:r>
      <w:proofErr w:type="spellEnd"/>
      <w:r w:rsidRPr="00FE3B52">
        <w:rPr>
          <w:sz w:val="24"/>
          <w:szCs w:val="24"/>
        </w:rPr>
        <w:t xml:space="preserve"> 1 A4/ hallintokunta).</w:t>
      </w:r>
    </w:p>
    <w:p w:rsidR="00FE3B52" w:rsidRPr="00FE3B52" w:rsidRDefault="00FE3B52" w:rsidP="00FE3B52">
      <w:pPr>
        <w:pStyle w:val="Eivli"/>
        <w:rPr>
          <w:sz w:val="24"/>
          <w:szCs w:val="24"/>
        </w:rPr>
      </w:pPr>
    </w:p>
    <w:p w:rsidR="00E668EA" w:rsidRPr="00FE3B52" w:rsidRDefault="00E668EA" w:rsidP="00B25630">
      <w:pPr>
        <w:rPr>
          <w:b/>
          <w:bCs/>
          <w:sz w:val="24"/>
          <w:szCs w:val="24"/>
        </w:rPr>
      </w:pPr>
      <w:r w:rsidRPr="00FE3B52">
        <w:rPr>
          <w:b/>
          <w:bCs/>
          <w:sz w:val="24"/>
          <w:szCs w:val="24"/>
        </w:rPr>
        <w:t>Muuta ajankohtaista ja muistettavaa</w:t>
      </w:r>
    </w:p>
    <w:p w:rsidR="00E668EA" w:rsidRPr="00F74F1B" w:rsidRDefault="00F74F1B" w:rsidP="007C11E4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F74F1B">
        <w:rPr>
          <w:sz w:val="24"/>
          <w:szCs w:val="24"/>
        </w:rPr>
        <w:t>kunta saa verottajalta verotustiedot (verokortit) sähköisesti, mutta mikäli toimitat muutosverokortin</w:t>
      </w:r>
      <w:r>
        <w:rPr>
          <w:sz w:val="24"/>
          <w:szCs w:val="24"/>
        </w:rPr>
        <w:t>,</w:t>
      </w:r>
      <w:r w:rsidRPr="00F74F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niin se on </w:t>
      </w:r>
      <w:r w:rsidRPr="00F74F1B">
        <w:rPr>
          <w:sz w:val="24"/>
          <w:szCs w:val="24"/>
        </w:rPr>
        <w:t xml:space="preserve">toimitettava </w:t>
      </w:r>
      <w:r>
        <w:rPr>
          <w:sz w:val="24"/>
          <w:szCs w:val="24"/>
        </w:rPr>
        <w:t xml:space="preserve">palkkasihteerille </w:t>
      </w:r>
      <w:r w:rsidRPr="00F74F1B">
        <w:rPr>
          <w:sz w:val="24"/>
          <w:szCs w:val="24"/>
        </w:rPr>
        <w:t>tam</w:t>
      </w:r>
      <w:r>
        <w:rPr>
          <w:sz w:val="24"/>
          <w:szCs w:val="24"/>
        </w:rPr>
        <w:t>m</w:t>
      </w:r>
      <w:r w:rsidRPr="00F74F1B">
        <w:rPr>
          <w:sz w:val="24"/>
          <w:szCs w:val="24"/>
        </w:rPr>
        <w:t xml:space="preserve">ikuun loppuun mennessä </w:t>
      </w:r>
    </w:p>
    <w:p w:rsidR="00E668EA" w:rsidRPr="00FE3B52" w:rsidRDefault="00E668EA" w:rsidP="00FE3B52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FE3B52">
        <w:rPr>
          <w:sz w:val="24"/>
          <w:szCs w:val="24"/>
        </w:rPr>
        <w:t xml:space="preserve">kilometrikorvaus (auto, ensimmäiset 5000 km) </w:t>
      </w:r>
      <w:r w:rsidRPr="00FE3B52">
        <w:rPr>
          <w:bCs/>
          <w:sz w:val="24"/>
          <w:szCs w:val="24"/>
        </w:rPr>
        <w:t>4</w:t>
      </w:r>
      <w:r w:rsidR="00CD3059">
        <w:rPr>
          <w:bCs/>
          <w:sz w:val="24"/>
          <w:szCs w:val="24"/>
        </w:rPr>
        <w:t>3</w:t>
      </w:r>
      <w:r w:rsidRPr="00FE3B52">
        <w:rPr>
          <w:bCs/>
          <w:sz w:val="24"/>
          <w:szCs w:val="24"/>
        </w:rPr>
        <w:t xml:space="preserve"> </w:t>
      </w:r>
      <w:proofErr w:type="spellStart"/>
      <w:r w:rsidRPr="00FE3B52">
        <w:rPr>
          <w:bCs/>
          <w:sz w:val="24"/>
          <w:szCs w:val="24"/>
        </w:rPr>
        <w:t>snt</w:t>
      </w:r>
      <w:proofErr w:type="spellEnd"/>
      <w:r w:rsidRPr="00FE3B52">
        <w:rPr>
          <w:bCs/>
          <w:sz w:val="24"/>
          <w:szCs w:val="24"/>
        </w:rPr>
        <w:t>/km</w:t>
      </w:r>
      <w:r w:rsidRPr="00FE3B52">
        <w:rPr>
          <w:sz w:val="24"/>
          <w:szCs w:val="24"/>
        </w:rPr>
        <w:t xml:space="preserve">, lisähenkilöstä 3 </w:t>
      </w:r>
      <w:proofErr w:type="spellStart"/>
      <w:r w:rsidRPr="00FE3B52">
        <w:rPr>
          <w:sz w:val="24"/>
          <w:szCs w:val="24"/>
        </w:rPr>
        <w:t>snt</w:t>
      </w:r>
      <w:proofErr w:type="spellEnd"/>
      <w:r w:rsidRPr="00FE3B52">
        <w:rPr>
          <w:sz w:val="24"/>
          <w:szCs w:val="24"/>
        </w:rPr>
        <w:t>/hlö/km</w:t>
      </w:r>
    </w:p>
    <w:p w:rsidR="00E668EA" w:rsidRPr="00FE3B52" w:rsidRDefault="00E668EA" w:rsidP="00FE3B52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FE3B52">
        <w:rPr>
          <w:sz w:val="24"/>
          <w:szCs w:val="24"/>
        </w:rPr>
        <w:t>matkalaskut entiseen tapaan palkanmaksun yhteydessä</w:t>
      </w:r>
      <w:r w:rsidR="0083326A">
        <w:rPr>
          <w:sz w:val="24"/>
          <w:szCs w:val="24"/>
        </w:rPr>
        <w:t xml:space="preserve"> (oleellista on merkitä</w:t>
      </w:r>
      <w:r w:rsidR="008139B3">
        <w:rPr>
          <w:sz w:val="24"/>
          <w:szCs w:val="24"/>
        </w:rPr>
        <w:t xml:space="preserve"> ajetut</w:t>
      </w:r>
      <w:r w:rsidR="0083326A">
        <w:rPr>
          <w:sz w:val="24"/>
          <w:szCs w:val="24"/>
        </w:rPr>
        <w:t xml:space="preserve"> kilometrit oikein)</w:t>
      </w:r>
    </w:p>
    <w:p w:rsidR="00E668EA" w:rsidRPr="00FE3B52" w:rsidRDefault="00E668EA" w:rsidP="00FE3B52">
      <w:pPr>
        <w:pStyle w:val="Luettelokappale"/>
        <w:numPr>
          <w:ilvl w:val="0"/>
          <w:numId w:val="2"/>
        </w:numPr>
        <w:rPr>
          <w:b/>
          <w:sz w:val="24"/>
          <w:szCs w:val="24"/>
        </w:rPr>
      </w:pPr>
      <w:r w:rsidRPr="00FE3B52">
        <w:rPr>
          <w:sz w:val="24"/>
          <w:szCs w:val="24"/>
        </w:rPr>
        <w:t xml:space="preserve">viime vuotta koskevat ostolaskut hyväksyttävä </w:t>
      </w:r>
      <w:r w:rsidRPr="00FE3B52">
        <w:rPr>
          <w:b/>
          <w:sz w:val="24"/>
          <w:szCs w:val="24"/>
        </w:rPr>
        <w:t xml:space="preserve">viimeistään </w:t>
      </w:r>
      <w:r w:rsidR="0083326A">
        <w:rPr>
          <w:b/>
          <w:sz w:val="24"/>
          <w:szCs w:val="24"/>
        </w:rPr>
        <w:t>2</w:t>
      </w:r>
      <w:r w:rsidR="00CD3059">
        <w:rPr>
          <w:b/>
          <w:sz w:val="24"/>
          <w:szCs w:val="24"/>
        </w:rPr>
        <w:t>3</w:t>
      </w:r>
      <w:r w:rsidR="00052504">
        <w:rPr>
          <w:b/>
          <w:sz w:val="24"/>
          <w:szCs w:val="24"/>
        </w:rPr>
        <w:t>.1.20</w:t>
      </w:r>
      <w:r w:rsidR="00CD3059">
        <w:rPr>
          <w:b/>
          <w:sz w:val="24"/>
          <w:szCs w:val="24"/>
        </w:rPr>
        <w:t>20</w:t>
      </w:r>
    </w:p>
    <w:p w:rsidR="00E668EA" w:rsidRPr="00FE3B52" w:rsidRDefault="00E668EA" w:rsidP="00FE3B52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FE3B52">
        <w:rPr>
          <w:sz w:val="24"/>
          <w:szCs w:val="24"/>
        </w:rPr>
        <w:t>vältä turhaa kopiointia ja suosi kaksipuolisia kopioita ja pienentämistä</w:t>
      </w:r>
      <w:r w:rsidRPr="00FE3B52">
        <w:rPr>
          <w:color w:val="1F497D"/>
          <w:sz w:val="24"/>
          <w:szCs w:val="24"/>
        </w:rPr>
        <w:t>!</w:t>
      </w:r>
    </w:p>
    <w:p w:rsidR="00E668EA" w:rsidRPr="00FE3B52" w:rsidRDefault="00E668EA" w:rsidP="00FE3B52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FE3B52">
        <w:rPr>
          <w:sz w:val="24"/>
          <w:szCs w:val="24"/>
        </w:rPr>
        <w:t>internet, sähköposti ja puhelin on tarkoitettu työasioiden hoitoon</w:t>
      </w:r>
    </w:p>
    <w:p w:rsidR="00E668EA" w:rsidRDefault="00E668EA" w:rsidP="00B25630"/>
    <w:p w:rsidR="00BF7836" w:rsidRPr="00FE3B52" w:rsidRDefault="00BF7836" w:rsidP="00FE3B52">
      <w:pPr>
        <w:pStyle w:val="Eivli"/>
        <w:rPr>
          <w:sz w:val="24"/>
          <w:szCs w:val="24"/>
        </w:rPr>
      </w:pPr>
      <w:r w:rsidRPr="00FE3B52">
        <w:rPr>
          <w:sz w:val="24"/>
          <w:szCs w:val="24"/>
        </w:rPr>
        <w:t xml:space="preserve">Näiden täytäntöönpano-ohjeiden lisäksi </w:t>
      </w:r>
      <w:r w:rsidR="00E668EA" w:rsidRPr="00FE3B52">
        <w:rPr>
          <w:sz w:val="24"/>
          <w:szCs w:val="24"/>
        </w:rPr>
        <w:t>lautakuntien ja viranhaltijoiden/työntekijöiden o</w:t>
      </w:r>
      <w:r w:rsidRPr="00FE3B52">
        <w:rPr>
          <w:sz w:val="24"/>
          <w:szCs w:val="24"/>
        </w:rPr>
        <w:t>n noudate</w:t>
      </w:r>
      <w:r w:rsidR="00E668EA" w:rsidRPr="00FE3B52">
        <w:rPr>
          <w:sz w:val="24"/>
          <w:szCs w:val="24"/>
        </w:rPr>
        <w:t>ttava voimassa olevia hankinta</w:t>
      </w:r>
      <w:r w:rsidR="0029757B">
        <w:rPr>
          <w:sz w:val="24"/>
          <w:szCs w:val="24"/>
        </w:rPr>
        <w:t>säännön ja</w:t>
      </w:r>
      <w:r w:rsidR="00E668EA" w:rsidRPr="00FE3B52">
        <w:rPr>
          <w:sz w:val="24"/>
          <w:szCs w:val="24"/>
        </w:rPr>
        <w:t xml:space="preserve"> </w:t>
      </w:r>
      <w:r w:rsidRPr="00FE3B52">
        <w:rPr>
          <w:sz w:val="24"/>
          <w:szCs w:val="24"/>
        </w:rPr>
        <w:t>hallintosäännön määräyksiä</w:t>
      </w:r>
      <w:r w:rsidR="00E668EA" w:rsidRPr="00FE3B52">
        <w:rPr>
          <w:sz w:val="24"/>
          <w:szCs w:val="24"/>
        </w:rPr>
        <w:t xml:space="preserve"> sekä sisäisen valvonnan ohjetta.</w:t>
      </w:r>
    </w:p>
    <w:p w:rsidR="00E668EA" w:rsidRDefault="00E668EA" w:rsidP="00B25630">
      <w:pPr>
        <w:rPr>
          <w:rFonts w:eastAsia="TimesNewRomanPSMT" w:cstheme="minorHAnsi"/>
          <w:sz w:val="24"/>
          <w:szCs w:val="24"/>
        </w:rPr>
      </w:pPr>
    </w:p>
    <w:p w:rsidR="00E668EA" w:rsidRDefault="00052504" w:rsidP="00B25630">
      <w:pPr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K</w:t>
      </w:r>
      <w:r w:rsidR="00E668EA">
        <w:rPr>
          <w:rFonts w:eastAsia="TimesNewRomanPSMT" w:cstheme="minorHAnsi"/>
          <w:sz w:val="24"/>
          <w:szCs w:val="24"/>
        </w:rPr>
        <w:t>annonkosken kunnanhallitus</w:t>
      </w:r>
      <w:r w:rsidR="009A0E13">
        <w:rPr>
          <w:rFonts w:eastAsia="TimesNewRomanPSMT" w:cstheme="minorHAnsi"/>
          <w:sz w:val="24"/>
          <w:szCs w:val="24"/>
        </w:rPr>
        <w:br/>
      </w:r>
    </w:p>
    <w:p w:rsidR="00E668EA" w:rsidRPr="00BF7836" w:rsidRDefault="005040E6" w:rsidP="00B25630">
      <w:pPr>
        <w:rPr>
          <w:rFonts w:eastAsia="TimesNewRomanPSMT" w:cstheme="minorHAnsi"/>
          <w:sz w:val="24"/>
          <w:szCs w:val="24"/>
        </w:rPr>
      </w:pPr>
      <w:r>
        <w:rPr>
          <w:rFonts w:eastAsia="TimesNewRomanPSMT" w:cstheme="minorHAnsi"/>
          <w:sz w:val="24"/>
          <w:szCs w:val="24"/>
        </w:rPr>
        <w:t>ASKO HÄNNINEN</w:t>
      </w:r>
      <w:r>
        <w:rPr>
          <w:rFonts w:eastAsia="TimesNewRomanPSMT" w:cstheme="minorHAnsi"/>
          <w:sz w:val="24"/>
          <w:szCs w:val="24"/>
        </w:rPr>
        <w:tab/>
      </w:r>
      <w:r>
        <w:rPr>
          <w:rFonts w:eastAsia="TimesNewRomanPSMT" w:cstheme="minorHAnsi"/>
          <w:sz w:val="24"/>
          <w:szCs w:val="24"/>
        </w:rPr>
        <w:tab/>
        <w:t>MA</w:t>
      </w:r>
      <w:r w:rsidR="0029757B">
        <w:rPr>
          <w:rFonts w:eastAsia="TimesNewRomanPSMT" w:cstheme="minorHAnsi"/>
          <w:sz w:val="24"/>
          <w:szCs w:val="24"/>
        </w:rPr>
        <w:t>RKKU VEHKAOJA</w:t>
      </w:r>
      <w:r w:rsidR="009A0E13">
        <w:rPr>
          <w:rFonts w:eastAsia="TimesNewRomanPSMT" w:cstheme="minorHAnsi"/>
          <w:sz w:val="24"/>
          <w:szCs w:val="24"/>
        </w:rPr>
        <w:t xml:space="preserve"> </w:t>
      </w:r>
      <w:r w:rsidR="009A0E13">
        <w:rPr>
          <w:rFonts w:eastAsia="TimesNewRomanPSMT" w:cstheme="minorHAnsi"/>
          <w:sz w:val="24"/>
          <w:szCs w:val="24"/>
        </w:rPr>
        <w:br/>
      </w:r>
      <w:r w:rsidR="00E668EA">
        <w:rPr>
          <w:rFonts w:eastAsia="TimesNewRomanPSMT" w:cstheme="minorHAnsi"/>
          <w:sz w:val="24"/>
          <w:szCs w:val="24"/>
        </w:rPr>
        <w:t>Asko Hänninen</w:t>
      </w:r>
      <w:r w:rsidR="00052504">
        <w:rPr>
          <w:rFonts w:eastAsia="TimesNewRomanPSMT" w:cstheme="minorHAnsi"/>
          <w:sz w:val="24"/>
          <w:szCs w:val="24"/>
        </w:rPr>
        <w:t>, pj</w:t>
      </w:r>
      <w:r w:rsidR="00E668EA">
        <w:rPr>
          <w:rFonts w:eastAsia="TimesNewRomanPSMT" w:cstheme="minorHAnsi"/>
          <w:sz w:val="24"/>
          <w:szCs w:val="24"/>
        </w:rPr>
        <w:tab/>
      </w:r>
      <w:r w:rsidR="00E668EA">
        <w:rPr>
          <w:rFonts w:eastAsia="TimesNewRomanPSMT" w:cstheme="minorHAnsi"/>
          <w:sz w:val="24"/>
          <w:szCs w:val="24"/>
        </w:rPr>
        <w:tab/>
        <w:t>Ma</w:t>
      </w:r>
      <w:r w:rsidR="0029757B">
        <w:rPr>
          <w:rFonts w:eastAsia="TimesNewRomanPSMT" w:cstheme="minorHAnsi"/>
          <w:sz w:val="24"/>
          <w:szCs w:val="24"/>
        </w:rPr>
        <w:t>rkku</w:t>
      </w:r>
      <w:r w:rsidR="00E668EA">
        <w:rPr>
          <w:rFonts w:eastAsia="TimesNewRomanPSMT" w:cstheme="minorHAnsi"/>
          <w:sz w:val="24"/>
          <w:szCs w:val="24"/>
        </w:rPr>
        <w:t xml:space="preserve"> </w:t>
      </w:r>
      <w:r w:rsidR="0029757B">
        <w:rPr>
          <w:rFonts w:eastAsia="TimesNewRomanPSMT" w:cstheme="minorHAnsi"/>
          <w:sz w:val="24"/>
          <w:szCs w:val="24"/>
        </w:rPr>
        <w:t>Vehkaoja</w:t>
      </w:r>
      <w:r w:rsidR="00052504">
        <w:rPr>
          <w:rFonts w:eastAsia="TimesNewRomanPSMT" w:cstheme="minorHAnsi"/>
          <w:sz w:val="24"/>
          <w:szCs w:val="24"/>
        </w:rPr>
        <w:t>, kj</w:t>
      </w:r>
    </w:p>
    <w:sectPr w:rsidR="00E668EA" w:rsidRPr="00BF7836" w:rsidSect="008776D7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1C702D"/>
    <w:multiLevelType w:val="hybridMultilevel"/>
    <w:tmpl w:val="B4349EF2"/>
    <w:lvl w:ilvl="0" w:tplc="1256D51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C6E8C"/>
    <w:multiLevelType w:val="hybridMultilevel"/>
    <w:tmpl w:val="944E0394"/>
    <w:lvl w:ilvl="0" w:tplc="15B075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E3"/>
    <w:rsid w:val="00026AE7"/>
    <w:rsid w:val="00052504"/>
    <w:rsid w:val="00055150"/>
    <w:rsid w:val="00083AEE"/>
    <w:rsid w:val="000A0DC6"/>
    <w:rsid w:val="001B3285"/>
    <w:rsid w:val="0022794B"/>
    <w:rsid w:val="0029757B"/>
    <w:rsid w:val="002A7733"/>
    <w:rsid w:val="003869E3"/>
    <w:rsid w:val="003D1E0D"/>
    <w:rsid w:val="003F1AA7"/>
    <w:rsid w:val="004B1B3D"/>
    <w:rsid w:val="005040E6"/>
    <w:rsid w:val="0050588E"/>
    <w:rsid w:val="00540DF3"/>
    <w:rsid w:val="00740947"/>
    <w:rsid w:val="007E1D06"/>
    <w:rsid w:val="00811FFD"/>
    <w:rsid w:val="008139B3"/>
    <w:rsid w:val="0083326A"/>
    <w:rsid w:val="00836935"/>
    <w:rsid w:val="008776D7"/>
    <w:rsid w:val="009A0E13"/>
    <w:rsid w:val="00B13930"/>
    <w:rsid w:val="00B25630"/>
    <w:rsid w:val="00B65D92"/>
    <w:rsid w:val="00BF7836"/>
    <w:rsid w:val="00CD3059"/>
    <w:rsid w:val="00D10FBD"/>
    <w:rsid w:val="00E668EA"/>
    <w:rsid w:val="00E7002E"/>
    <w:rsid w:val="00F57441"/>
    <w:rsid w:val="00F74F1B"/>
    <w:rsid w:val="00F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240AC-DE60-4C96-8BA5-299E69F0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E668EA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E668E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Autio Maarit</dc:creator>
  <cp:lastModifiedBy>Paananen Anneli</cp:lastModifiedBy>
  <cp:revision>2</cp:revision>
  <dcterms:created xsi:type="dcterms:W3CDTF">2020-01-16T12:16:00Z</dcterms:created>
  <dcterms:modified xsi:type="dcterms:W3CDTF">2020-01-16T12:16:00Z</dcterms:modified>
</cp:coreProperties>
</file>